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AML POLICY </w:t>
        <w:br/>
      </w:r>
    </w:p>
    <w:p>
      <w:pPr>
        <w:spacing w:before="0" w:after="0" w:line="240"/>
        <w:ind w:right="0" w:left="0" w:firstLine="0"/>
        <w:jc w:val="center"/>
        <w:rPr>
          <w:rFonts w:ascii="Times" w:hAnsi="Times" w:cs="Times" w:eastAsia="Times"/>
          <w:b/>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This Policy is meant to provide the information that </w:t>
      </w:r>
      <w:r>
        <w:rPr>
          <w:rFonts w:ascii="Times New Roman" w:hAnsi="Times New Roman" w:cs="Times New Roman" w:eastAsia="Times New Roman"/>
          <w:b/>
          <w:color w:val="000000"/>
          <w:spacing w:val="0"/>
          <w:position w:val="0"/>
          <w:sz w:val="22"/>
          <w:shd w:fill="FFFFFF" w:val="clear"/>
        </w:rPr>
        <w:t xml:space="preserve">Nimera Financial Group</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auto"/>
          <w:spacing w:val="0"/>
          <w:position w:val="0"/>
          <w:sz w:val="22"/>
          <w:shd w:fill="auto" w:val="clear"/>
        </w:rPr>
        <w:t xml:space="preserve">Registration no: </w:t>
      </w:r>
      <w:r>
        <w:rPr>
          <w:rFonts w:ascii="Times New Roman" w:hAnsi="Times New Roman" w:cs="Times New Roman" w:eastAsia="Times New Roman"/>
          <w:b/>
          <w:color w:val="000000"/>
          <w:spacing w:val="0"/>
          <w:position w:val="0"/>
          <w:sz w:val="22"/>
          <w:shd w:fill="auto" w:val="clear"/>
        </w:rPr>
        <w:t xml:space="preserve">Chamberlain Sq, Birmingham B3 3AX UNITED KINGDOM</w:t>
      </w:r>
      <w:r>
        <w:rPr>
          <w:rFonts w:ascii="Times New Roman" w:hAnsi="Times New Roman" w:cs="Times New Roman" w:eastAsia="Times New Roman"/>
          <w:color w:val="000000"/>
          <w:spacing w:val="0"/>
          <w:position w:val="0"/>
          <w:sz w:val="22"/>
          <w:shd w:fill="auto" w:val="clear"/>
        </w:rPr>
        <w:t xml:space="preserve">. company (“Company”) strictly complies with all applicable laws and regulations of anti-money laundering (AML) and countering the financing of terrorism (CFT) policies. Thereby the Company carries out group of actions aimed at revealing criminally-obtained funds and their legalization countermeasures in correspondence with the international requirements. </w:t>
      </w:r>
    </w:p>
    <w:p>
      <w:pPr>
        <w:spacing w:before="210" w:after="0" w:line="240"/>
        <w:ind w:right="0"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4" w:after="0" w:line="240"/>
        <w:ind w:right="0" w:left="1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IDENTIFICATION AND VERIFICATION OF CLIENTS </w:t>
      </w:r>
    </w:p>
    <w:p>
      <w:pPr>
        <w:spacing w:before="225" w:after="0" w:line="259"/>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pPr>
        <w:spacing w:before="224" w:after="0" w:line="261"/>
        <w:ind w:right="0" w:left="2"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While the registration process the Client provides the identification information to the Company including the Client’s full name, date of birth, country of residence, mobile number and e-mail. </w:t>
      </w:r>
    </w:p>
    <w:p>
      <w:pPr>
        <w:spacing w:before="202" w:after="0" w:line="257"/>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After receiving the identification information, the Company should verify the information requesting the appropriate documents. </w:t>
      </w:r>
    </w:p>
    <w:p>
      <w:pPr>
        <w:spacing w:before="221" w:after="0" w:line="252"/>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 The appropriate document verifying the Client’s identity is a high resolution scanned copy or a photo of a passport or a driving license or any other national ID. </w:t>
      </w:r>
    </w:p>
    <w:p>
      <w:pPr>
        <w:spacing w:before="229" w:after="0" w:line="252"/>
        <w:ind w:right="0" w:left="1" w:firstLine="2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1.3.2. The appropriate document verifying proof of address is a high-resolution copy or a photo of a utility bill or a bank reference issued within the last 3months. </w:t>
      </w:r>
    </w:p>
    <w:p>
      <w:pPr>
        <w:spacing w:before="234" w:after="0" w:line="257"/>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pPr>
        <w:spacing w:before="230" w:after="0" w:line="252"/>
        <w:ind w:right="0" w:left="4"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 The Company shall monitor the Client due diligence and accounts on the regular basis in order to determine the level of risk they pose and to reveal whatever changes in information about the Client. </w:t>
      </w:r>
    </w:p>
    <w:p>
      <w:pPr>
        <w:spacing w:before="230" w:after="0" w:line="257"/>
        <w:ind w:right="0" w:left="2"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pPr>
        <w:spacing w:before="196" w:after="0" w:line="490"/>
        <w:ind w:right="0" w:left="2"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1.7. The Client is obliged to inform immediately of any changes in the personal or contact information. </w:t>
      </w:r>
    </w:p>
    <w:p>
      <w:pPr>
        <w:spacing w:before="196" w:after="0" w:line="490"/>
        <w:ind w:right="0" w:left="2" w:firstLine="18"/>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PAYMENT POLICY </w:t>
      </w:r>
    </w:p>
    <w:p>
      <w:pPr>
        <w:spacing w:before="14" w:after="0" w:line="247"/>
        <w:ind w:right="0" w:left="6"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2.1. In order to minimize the risk of money laundering and terrorism financing the Company neither accepts nor pays off cash money under no circumstances. </w:t>
      </w:r>
    </w:p>
    <w:p>
      <w:pPr>
        <w:spacing w:before="233" w:after="0" w:line="252"/>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2.2. The Company reserves the right to refuse processing a transaction at its any stage, if the Company believes the transaction to be connected in any way with money laundering or criminal activity. </w:t>
      </w:r>
    </w:p>
    <w:p>
      <w:pPr>
        <w:spacing w:before="230" w:after="0" w:line="247"/>
        <w:ind w:right="0" w:left="2"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2.3. According to international legislation, the Company is prohibited from informing the Client that they have been reported for suspicious account activity. </w:t>
      </w:r>
    </w:p>
    <w:p>
      <w:pPr>
        <w:spacing w:before="228" w:after="0" w:line="252"/>
        <w:ind w:right="0" w:left="6"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2.4. The name of a person making a deposit of funds should be the same as the Client’s name in the Company’s records. Payments from third parties are not accepted.</w:t>
      </w:r>
    </w:p>
    <w:p>
      <w:pPr>
        <w:spacing w:before="0" w:after="0" w:line="258"/>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b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pPr>
        <w:spacing w:before="243" w:after="0" w:line="252"/>
        <w:ind w:right="0" w:left="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2.6. The compliance with the AML policy requires withdrawal of funds to be made in the same currency as when depositing. </w:t>
      </w:r>
    </w:p>
    <w:p>
      <w:pPr>
        <w:spacing w:before="230" w:after="0" w:line="257"/>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2.7. The Company maintains transaction records for a minimum of 5 years after termination of the business relationship with the Client. </w:t>
      </w:r>
    </w:p>
    <w:p>
      <w:pPr>
        <w:spacing w:before="211" w:after="0" w:line="240"/>
        <w:ind w:right="0" w:left="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PERSONNEL TRAINING </w:t>
      </w:r>
    </w:p>
    <w:p>
      <w:pPr>
        <w:spacing w:before="215" w:after="0" w:line="259"/>
        <w:ind w:right="0" w:left="2"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pPr>
        <w:spacing w:before="228" w:after="0" w:line="252"/>
        <w:ind w:right="0" w:left="4"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All the employees, managers and directors of the Company are suitably vetted while entering into employment. </w:t>
      </w:r>
    </w:p>
    <w:p>
      <w:pPr>
        <w:spacing w:before="229" w:after="0" w:line="257"/>
        <w:ind w:right="0" w:left="0"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pPr>
        <w:spacing w:before="230" w:after="0" w:line="257"/>
        <w:ind w:right="0" w:left="2"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3.4. Any violation of the AML policy must be reported to the AML compliance officer, unless the violation implicates the AML Compliance Officer, in which case an employee must report the violation to the CEO. </w:t>
      </w:r>
    </w:p>
    <w:p>
      <w:pPr>
        <w:spacing w:before="221" w:after="0" w:line="240"/>
        <w:ind w:right="0" w:left="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4. INTRODUCING CHANGES TO THE AML POLICY </w:t>
      </w:r>
    </w:p>
    <w:p>
      <w:pPr>
        <w:spacing w:before="230" w:after="0" w:line="257"/>
        <w:ind w:right="0" w:left="0"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The Company reserves the right to review and/or amend the AML Policy, at its sole discretion, so please re-read it regularly. If the Client continues to use the website services or visits it, they agree automatically with changes introduced to the Policy.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